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10" w:rsidRDefault="006C5910" w:rsidP="006C591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Баева Н.Б., Куркин Е.В. </w:t>
      </w:r>
    </w:p>
    <w:bookmarkEnd w:id="0"/>
    <w:p w:rsidR="006C5910" w:rsidRDefault="006C5910" w:rsidP="006C591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Воронеж, ВГУ</w:t>
      </w:r>
    </w:p>
    <w:p w:rsidR="006C5910" w:rsidRPr="00015DCC" w:rsidRDefault="006C5910" w:rsidP="006C591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evgeny</w:t>
      </w:r>
      <w:r w:rsidRPr="006334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kurkin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@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mail</w:t>
      </w:r>
      <w:r w:rsidRPr="0063344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com</w:t>
      </w:r>
    </w:p>
    <w:p w:rsidR="006C5910" w:rsidRPr="001E246E" w:rsidRDefault="006C5910" w:rsidP="006C591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C5910" w:rsidRDefault="006C5910" w:rsidP="006C5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ФУНКЦИЯ ПРИВЛЕКАТЕЛЬНОСТИ ЭКОНОМИЧЕСКОЙ СИСТЕМЫ РЕГИОНА</w:t>
      </w:r>
    </w:p>
    <w:p w:rsidR="006C5910" w:rsidRDefault="006C5910" w:rsidP="006C5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B80" w:rsidRPr="00434B80" w:rsidRDefault="00434B80" w:rsidP="0043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sz w:val="28"/>
          <w:szCs w:val="28"/>
        </w:rPr>
        <w:t>Моделирование развития экономики региона достаточно распространенная тема исследования [1-7], но работы, где производился бы учет неоднородностей в систе</w:t>
      </w:r>
      <w:r>
        <w:rPr>
          <w:rFonts w:ascii="Times New Roman" w:hAnsi="Times New Roman" w:cs="Times New Roman"/>
          <w:sz w:val="28"/>
          <w:szCs w:val="28"/>
        </w:rPr>
        <w:t xml:space="preserve">ме,  встречаются реже. </w:t>
      </w:r>
    </w:p>
    <w:p w:rsidR="00015DCC" w:rsidRDefault="00434B80" w:rsidP="0043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sz w:val="28"/>
          <w:szCs w:val="28"/>
        </w:rPr>
        <w:t>В рамках данной работы в региональной экономической системе (РЭС) виды экономической деятельности являются элементами, а потоки ресурсов между ними образуют связи. Также в РЭС присутствуют хозяйствующие субъекты организационно не подчиненных административному центру, использующие ресурсы региона в своей деятельности, но учитывающие выпуск и платящие налоги в других регионах. Набор таких хозяйствующих субъектов был назван производственной лакуной региона, впервые это понятие было введено в работах [8, 9]. Наличие таких субъектов приводит к искажениям статистической информации по валовому выпуску региона, о чем, в частности, упоминается в официальных статистических сборниках [10].</w:t>
      </w:r>
      <w:r w:rsidR="0020298B">
        <w:rPr>
          <w:rFonts w:ascii="Times New Roman" w:hAnsi="Times New Roman" w:cs="Times New Roman"/>
          <w:sz w:val="28"/>
          <w:szCs w:val="28"/>
        </w:rPr>
        <w:t xml:space="preserve"> Выделяют внешнюю лакуну – субъекты экономической деятельности </w:t>
      </w:r>
      <w:r w:rsidR="000A2007">
        <w:rPr>
          <w:rFonts w:ascii="Times New Roman" w:hAnsi="Times New Roman" w:cs="Times New Roman"/>
          <w:sz w:val="28"/>
          <w:szCs w:val="28"/>
        </w:rPr>
        <w:t>сторонних регионов, имеющие представительства в «нашем», и внутреннюю – субъекты «нашего» региона имеющие представительства в других областях.</w:t>
      </w:r>
      <w:r w:rsidRPr="00434B80">
        <w:rPr>
          <w:rFonts w:ascii="Times New Roman" w:hAnsi="Times New Roman" w:cs="Times New Roman"/>
          <w:sz w:val="28"/>
          <w:szCs w:val="28"/>
        </w:rPr>
        <w:t xml:space="preserve"> Производственная лакуна как элемент экономической системы региона вносит неоднородность в структуру элементов системы и связей с управляющим центром. В работе [11] приведены подходы к описанию неоднородной системы, исследованию производственной лакуны и оценке её масштаба.</w:t>
      </w:r>
      <w:r w:rsidR="001E24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B80" w:rsidRPr="00434B80" w:rsidRDefault="00434B80" w:rsidP="0043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sz w:val="28"/>
          <w:szCs w:val="28"/>
        </w:rPr>
        <w:t xml:space="preserve">Остановимся подробнее на прогнозировании масштаба производственной лакуны. Для этого необходимо иметь некую функцию, которая будет отражать </w:t>
      </w:r>
      <w:r w:rsidRPr="00434B80">
        <w:rPr>
          <w:rFonts w:ascii="Times New Roman" w:hAnsi="Times New Roman" w:cs="Times New Roman"/>
          <w:i/>
          <w:sz w:val="28"/>
          <w:szCs w:val="28"/>
        </w:rPr>
        <w:t>зависимость характеристик региона и вероятности появления в регионе производственной лакуны</w:t>
      </w:r>
      <w:r w:rsidRPr="00434B80">
        <w:rPr>
          <w:rFonts w:ascii="Times New Roman" w:hAnsi="Times New Roman" w:cs="Times New Roman"/>
          <w:sz w:val="28"/>
          <w:szCs w:val="28"/>
        </w:rPr>
        <w:t xml:space="preserve">, которую назовем </w:t>
      </w:r>
      <w:r w:rsidRPr="00434B80">
        <w:rPr>
          <w:rFonts w:ascii="Times New Roman" w:hAnsi="Times New Roman" w:cs="Times New Roman"/>
          <w:i/>
          <w:sz w:val="28"/>
          <w:szCs w:val="28"/>
        </w:rPr>
        <w:t>функция привлекательности региона</w:t>
      </w:r>
      <w:r w:rsidRPr="00434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B80" w:rsidRPr="00434B80" w:rsidRDefault="00434B80" w:rsidP="00434B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4B80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atr</w:t>
      </w:r>
      <w:r w:rsidRPr="00434B8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34B80">
        <w:rPr>
          <w:rFonts w:ascii="Times New Roman" w:hAnsi="Times New Roman" w:cs="Times New Roman"/>
          <w:i/>
          <w:sz w:val="28"/>
          <w:szCs w:val="28"/>
        </w:rPr>
        <w:t>×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34B80">
        <w:rPr>
          <w:rFonts w:ascii="Times New Roman" w:hAnsi="Times New Roman" w:cs="Times New Roman"/>
          <w:i/>
          <w:sz w:val="28"/>
          <w:szCs w:val="28"/>
        </w:rPr>
        <w:t>×...×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434B80">
        <w:rPr>
          <w:rFonts w:ascii="Times New Roman" w:hAnsi="Times New Roman" w:cs="Times New Roman"/>
          <w:i/>
          <w:sz w:val="28"/>
          <w:szCs w:val="28"/>
        </w:rPr>
        <w:t>→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34B80">
        <w:rPr>
          <w:rFonts w:ascii="Times New Roman" w:hAnsi="Times New Roman" w:cs="Times New Roman"/>
          <w:sz w:val="28"/>
          <w:szCs w:val="28"/>
        </w:rPr>
        <w:t>.</w:t>
      </w:r>
    </w:p>
    <w:p w:rsidR="00434B80" w:rsidRPr="00434B80" w:rsidRDefault="00434B80" w:rsidP="0043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sz w:val="28"/>
          <w:szCs w:val="28"/>
        </w:rPr>
        <w:t xml:space="preserve">Смысловую нагрузку термина привлекательность следует понимать как привлекательность экономики и условий региона с точки зрения ведения в нем бизнеса и появления новых сторонних субъектов.  Характеристики региона – аргументы функции 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</w:rPr>
        <w:t>=(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34B8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34B80">
        <w:rPr>
          <w:rFonts w:ascii="Times New Roman" w:hAnsi="Times New Roman" w:cs="Times New Roman"/>
          <w:i/>
          <w:sz w:val="28"/>
          <w:szCs w:val="28"/>
        </w:rPr>
        <w:t>, … ,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k</w:t>
      </w:r>
      <w:r w:rsidRPr="00434B80">
        <w:rPr>
          <w:rFonts w:ascii="Times New Roman" w:hAnsi="Times New Roman" w:cs="Times New Roman"/>
          <w:i/>
          <w:sz w:val="28"/>
          <w:szCs w:val="28"/>
        </w:rPr>
        <w:t>)</w:t>
      </w:r>
      <w:r w:rsidRPr="00434B80">
        <w:rPr>
          <w:rFonts w:ascii="Times New Roman" w:hAnsi="Times New Roman" w:cs="Times New Roman"/>
          <w:sz w:val="28"/>
          <w:szCs w:val="28"/>
        </w:rPr>
        <w:t xml:space="preserve">, их количество </w:t>
      </w:r>
      <w:r w:rsidRPr="00434B80">
        <w:rPr>
          <w:rFonts w:ascii="Times New Roman" w:hAnsi="Times New Roman" w:cs="Times New Roman"/>
          <w:i/>
          <w:sz w:val="28"/>
          <w:szCs w:val="28"/>
        </w:rPr>
        <w:t>k</w:t>
      </w:r>
      <w:r w:rsidRPr="00434B80">
        <w:rPr>
          <w:rFonts w:ascii="Times New Roman" w:hAnsi="Times New Roman" w:cs="Times New Roman"/>
          <w:sz w:val="28"/>
          <w:szCs w:val="28"/>
        </w:rPr>
        <w:t xml:space="preserve">, список зависит от целей моделирования и наличия исходных данных, область определения аргумента определяется его смысловой нагрузкой, чаще это область неотрицательных действительных чисел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⊆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∪{0}</m:t>
        </m:r>
      </m:oMath>
      <w:r w:rsidRPr="00434B80">
        <w:rPr>
          <w:rFonts w:ascii="Times New Roman" w:hAnsi="Times New Roman" w:cs="Times New Roman"/>
          <w:sz w:val="28"/>
          <w:szCs w:val="28"/>
        </w:rPr>
        <w:t xml:space="preserve">. Значение функции область неотрицательных действительных </w:t>
      </w:r>
      <w:r w:rsidRPr="00434B80">
        <w:rPr>
          <w:rFonts w:ascii="Times New Roman" w:hAnsi="Times New Roman" w:cs="Times New Roman"/>
          <w:sz w:val="28"/>
          <w:szCs w:val="28"/>
        </w:rPr>
        <w:lastRenderedPageBreak/>
        <w:t>чисел, измеряется в деньгах или в зависимости от вида может быть безразмерной и принимать значение от 0 до 1. Функция привлекательности региона с точки зрения появления в ней объекта производственной лакуны строится по аналогии с производственной функцией. Наиболее подходящий вид функции – линейная (взвешенная сумма её аргументов)</w:t>
      </w:r>
      <w:r w:rsidR="00743D23">
        <w:rPr>
          <w:rFonts w:ascii="Times New Roman" w:hAnsi="Times New Roman" w:cs="Times New Roman"/>
          <w:sz w:val="28"/>
          <w:szCs w:val="28"/>
        </w:rPr>
        <w:t>, как наиболее подходящая для описания крупномасштабных систем</w:t>
      </w:r>
      <w:r w:rsidRPr="00434B80">
        <w:rPr>
          <w:rFonts w:ascii="Times New Roman" w:hAnsi="Times New Roman" w:cs="Times New Roman"/>
          <w:sz w:val="28"/>
          <w:szCs w:val="28"/>
        </w:rPr>
        <w:t xml:space="preserve">. В работе [12] был предложен следующий вид функции привлекательности региона: </w:t>
      </w:r>
    </w:p>
    <w:p w:rsidR="00434B80" w:rsidRPr="00434B80" w:rsidRDefault="00434B80" w:rsidP="0043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34B80">
        <w:rPr>
          <w:rFonts w:ascii="Times New Roman" w:hAnsi="Times New Roman" w:cs="Times New Roman"/>
          <w:i/>
          <w:sz w:val="28"/>
          <w:szCs w:val="28"/>
          <w:vertAlign w:val="superscript"/>
        </w:rPr>
        <w:t>atr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>),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>),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>),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>))=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34B80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X</w:t>
      </w:r>
      <w:r w:rsidRPr="00434B80">
        <w:rPr>
          <w:rFonts w:ascii="Times New Roman" w:hAnsi="Times New Roman" w:cs="Times New Roman"/>
          <w:i/>
          <w:sz w:val="28"/>
          <w:szCs w:val="28"/>
        </w:rPr>
        <w:t>∙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 xml:space="preserve">) + 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34B80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P</w:t>
      </w:r>
      <w:r w:rsidRPr="00434B80">
        <w:rPr>
          <w:rFonts w:ascii="Times New Roman" w:hAnsi="Times New Roman" w:cs="Times New Roman"/>
          <w:i/>
          <w:sz w:val="28"/>
          <w:szCs w:val="28"/>
        </w:rPr>
        <w:t>∙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 xml:space="preserve">) - 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34B80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</w:t>
      </w:r>
      <w:r w:rsidRPr="00434B80">
        <w:rPr>
          <w:rFonts w:ascii="Times New Roman" w:hAnsi="Times New Roman" w:cs="Times New Roman"/>
          <w:i/>
          <w:sz w:val="28"/>
          <w:szCs w:val="28"/>
        </w:rPr>
        <w:t>∙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 xml:space="preserve">) - 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34B80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R</w:t>
      </w:r>
      <w:r w:rsidRPr="00434B80">
        <w:rPr>
          <w:rFonts w:ascii="Times New Roman" w:hAnsi="Times New Roman" w:cs="Times New Roman"/>
          <w:i/>
          <w:sz w:val="28"/>
          <w:szCs w:val="28"/>
        </w:rPr>
        <w:t>∙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34B80">
        <w:rPr>
          <w:rFonts w:ascii="Times New Roman" w:hAnsi="Times New Roman" w:cs="Times New Roman"/>
          <w:i/>
          <w:sz w:val="28"/>
          <w:szCs w:val="28"/>
        </w:rPr>
        <w:t>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34B80">
        <w:rPr>
          <w:rFonts w:ascii="Times New Roman" w:hAnsi="Times New Roman" w:cs="Times New Roman"/>
          <w:i/>
          <w:sz w:val="28"/>
          <w:szCs w:val="28"/>
        </w:rPr>
        <w:t>)</w:t>
      </w:r>
      <w:r w:rsidRPr="00434B80">
        <w:rPr>
          <w:rFonts w:ascii="Times New Roman" w:hAnsi="Times New Roman" w:cs="Times New Roman"/>
          <w:sz w:val="28"/>
          <w:szCs w:val="28"/>
        </w:rPr>
        <w:t>.</w:t>
      </w:r>
      <w:r w:rsidRPr="00434B80">
        <w:rPr>
          <w:rFonts w:ascii="Times New Roman" w:hAnsi="Times New Roman" w:cs="Times New Roman"/>
          <w:sz w:val="28"/>
          <w:szCs w:val="28"/>
        </w:rPr>
        <w:tab/>
      </w:r>
      <w:r w:rsidRPr="00434B80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Pr="00434B80">
        <w:rPr>
          <w:rFonts w:ascii="Times New Roman" w:hAnsi="Times New Roman" w:cs="Times New Roman"/>
          <w:sz w:val="28"/>
          <w:szCs w:val="28"/>
        </w:rPr>
        <w:t>(1)</w:t>
      </w:r>
    </w:p>
    <w:p w:rsidR="00434B80" w:rsidRPr="00434B80" w:rsidRDefault="00434B80" w:rsidP="0043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sz w:val="28"/>
          <w:szCs w:val="28"/>
        </w:rPr>
        <w:t>Описание параметров функции и влияние их на результат приведены в таблице ниже (</w:t>
      </w:r>
      <w:r w:rsidRPr="00434B8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434B80">
        <w:rPr>
          <w:rFonts w:ascii="Times New Roman" w:hAnsi="Times New Roman" w:cs="Times New Roman"/>
          <w:i/>
          <w:sz w:val="28"/>
          <w:szCs w:val="28"/>
          <w:vertAlign w:val="subscript"/>
        </w:rPr>
        <w:t>+1</w:t>
      </w:r>
      <w:r w:rsidRPr="00434B80">
        <w:rPr>
          <w:rFonts w:ascii="Times New Roman" w:hAnsi="Times New Roman" w:cs="Times New Roman"/>
          <w:sz w:val="28"/>
          <w:szCs w:val="28"/>
        </w:rPr>
        <w:t xml:space="preserve"> обозначение величины лакуны [11]).</w:t>
      </w:r>
    </w:p>
    <w:p w:rsidR="00434B80" w:rsidRDefault="00434B80" w:rsidP="00434B8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434B80" w:rsidRDefault="00434B80" w:rsidP="002A1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4B80">
        <w:rPr>
          <w:rFonts w:ascii="Times New Roman" w:hAnsi="Times New Roman" w:cs="Times New Roman"/>
          <w:sz w:val="28"/>
          <w:szCs w:val="28"/>
        </w:rPr>
        <w:t>Характер влияния параметров системы на производственную лакуну</w:t>
      </w:r>
    </w:p>
    <w:tbl>
      <w:tblPr>
        <w:tblW w:w="78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0"/>
        <w:gridCol w:w="1390"/>
        <w:gridCol w:w="1709"/>
        <w:gridCol w:w="1247"/>
        <w:gridCol w:w="1445"/>
      </w:tblGrid>
      <w:tr w:rsidR="00434B80" w:rsidRPr="00434B80" w:rsidTr="00434B80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валовой выпуск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средняя з/п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стоимость ресурсов</w:t>
            </w:r>
          </w:p>
        </w:tc>
      </w:tr>
      <w:tr w:rsidR="00434B80" w:rsidRPr="00434B80" w:rsidTr="00434B80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Приращение аргумента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Δ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)&gt;0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Δ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)&gt;0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Δ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)&gt;0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Δ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)&gt;0</w:t>
            </w:r>
          </w:p>
        </w:tc>
      </w:tr>
      <w:tr w:rsidR="00434B80" w:rsidRPr="00434B80" w:rsidTr="00434B80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Изменение внешней лакуны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≥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≥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≤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≤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434B80" w:rsidRPr="00434B80" w:rsidTr="00434B80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Изменение внутренней лакуны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≤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≤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≥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B80" w:rsidRPr="00434B80" w:rsidRDefault="00434B80" w:rsidP="00434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+1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43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4B8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≥</w:t>
            </w:r>
            <w:r w:rsidRPr="0043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DF5EE0" w:rsidRPr="00DF5EE0" w:rsidRDefault="00DF5EE0" w:rsidP="00DF5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EE0">
        <w:rPr>
          <w:rFonts w:ascii="Times New Roman" w:hAnsi="Times New Roman" w:cs="Times New Roman"/>
          <w:sz w:val="28"/>
          <w:szCs w:val="28"/>
        </w:rPr>
        <w:t xml:space="preserve">При каждой неизвестной в функции (1) стоит весовой коэффициент </w:t>
      </w:r>
      <w:r w:rsidRPr="00DF5EE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F5EE0">
        <w:rPr>
          <w:rFonts w:ascii="Times New Roman" w:hAnsi="Times New Roman" w:cs="Times New Roman"/>
          <w:sz w:val="28"/>
          <w:szCs w:val="28"/>
        </w:rPr>
        <w:t xml:space="preserve">, определяемый экспертным способом или определенный по историческим данным и имеющий размерность для приведения всех слагаемых к одной единице измерения, </w:t>
      </w:r>
      <w:r w:rsidRPr="00DF5EE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F5EE0">
        <w:rPr>
          <w:rFonts w:ascii="Times New Roman" w:hAnsi="Times New Roman" w:cs="Times New Roman"/>
          <w:sz w:val="28"/>
          <w:szCs w:val="28"/>
        </w:rPr>
        <w:t xml:space="preserve"> – год планирования. </w:t>
      </w:r>
    </w:p>
    <w:p w:rsidR="00DF5EE0" w:rsidRPr="00DF5EE0" w:rsidRDefault="00DF5EE0" w:rsidP="00DF5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EE0">
        <w:rPr>
          <w:rFonts w:ascii="Times New Roman" w:hAnsi="Times New Roman" w:cs="Times New Roman"/>
          <w:sz w:val="28"/>
          <w:szCs w:val="28"/>
        </w:rPr>
        <w:t xml:space="preserve">В работе [15] был предложен другой вид функции привлекательности с тем же перечнем аргументов, но с использованием алгебры трудности достижения цели [11] </w:t>
      </w:r>
    </w:p>
    <w:p w:rsidR="00DF5EE0" w:rsidRPr="00DF5EE0" w:rsidRDefault="00DF5EE0" w:rsidP="00DF5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λ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)⊕(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λ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)⊕(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λ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)⊕(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λ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DF5EE0">
        <w:rPr>
          <w:rFonts w:ascii="Times New Roman" w:hAnsi="Times New Roman" w:cs="Times New Roman"/>
          <w:sz w:val="28"/>
          <w:szCs w:val="28"/>
        </w:rPr>
        <w:t>,</w:t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>(2)</w:t>
      </w:r>
    </w:p>
    <w:p w:rsidR="00434B80" w:rsidRDefault="00DF5EE0" w:rsidP="00DF5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EE0">
        <w:rPr>
          <w:rFonts w:ascii="Times New Roman" w:hAnsi="Times New Roman" w:cs="Times New Roman"/>
          <w:sz w:val="28"/>
          <w:szCs w:val="28"/>
        </w:rPr>
        <w:t xml:space="preserve">где все аргументы приведены к безразмерным величинам в диапазон [0,1] и просуммированы с помощью обобщенной операции сложения [11] с весовыми коэффициентами λ. Отметим, что в силу свойств коэффициентов трудности достижения цели, полученные значения оценок привлекательности региона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∈[0,1]</m:t>
        </m:r>
      </m:oMath>
      <w:r w:rsidRPr="00DF5EE0">
        <w:rPr>
          <w:rFonts w:ascii="Times New Roman" w:hAnsi="Times New Roman" w:cs="Times New Roman"/>
          <w:sz w:val="28"/>
          <w:szCs w:val="28"/>
        </w:rPr>
        <w:t xml:space="preserve"> с точки зрения размещения в нем производства, обладают вероятностной характеристикой, то есть показывают с какой вероятностью в регионе может появиться новый объект производственной лакуны.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Интересный подход к построению функции привлекательности региона можно предложить </w:t>
      </w:r>
      <w:r w:rsidRPr="00DA37FF">
        <w:rPr>
          <w:rFonts w:ascii="Times New Roman" w:hAnsi="Times New Roman" w:cs="Times New Roman"/>
          <w:sz w:val="28"/>
          <w:szCs w:val="28"/>
        </w:rPr>
        <w:t xml:space="preserve">на основе гравитационной модели прогнозирования передвижений [16]. В. Рейли при анализе конкуренции в розничной торговле впервые сформулировал закон взаимодействия </w:t>
      </w:r>
      <w:r w:rsidRPr="00DA37FF">
        <w:rPr>
          <w:rFonts w:ascii="Times New Roman" w:hAnsi="Times New Roman" w:cs="Times New Roman"/>
          <w:sz w:val="28"/>
          <w:szCs w:val="28"/>
        </w:rPr>
        <w:lastRenderedPageBreak/>
        <w:t xml:space="preserve">центров тяготения, используя аналогию с законом всемирного тяготения. Согласно закону Рейли, притяжение (привлекательность)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=k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Pr="00DA37FF">
        <w:rPr>
          <w:rFonts w:ascii="Times New Roman" w:hAnsi="Times New Roman" w:cs="Times New Roman"/>
          <w:sz w:val="28"/>
          <w:szCs w:val="28"/>
        </w:rPr>
        <w:t xml:space="preserve">, создаваемое городом </w:t>
      </w:r>
      <w:r w:rsidRPr="00DA37FF">
        <w:rPr>
          <w:rFonts w:ascii="Times New Roman" w:hAnsi="Times New Roman" w:cs="Times New Roman"/>
          <w:i/>
          <w:sz w:val="28"/>
          <w:szCs w:val="28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в точке </w:t>
      </w:r>
      <w:r w:rsidRPr="00DA37FF">
        <w:rPr>
          <w:rFonts w:ascii="Times New Roman" w:hAnsi="Times New Roman" w:cs="Times New Roman"/>
          <w:i/>
          <w:sz w:val="28"/>
          <w:szCs w:val="28"/>
        </w:rPr>
        <w:t>j</w:t>
      </w:r>
      <w:r w:rsidRPr="00DA37FF">
        <w:rPr>
          <w:rFonts w:ascii="Times New Roman" w:hAnsi="Times New Roman" w:cs="Times New Roman"/>
          <w:sz w:val="28"/>
          <w:szCs w:val="28"/>
        </w:rPr>
        <w:t xml:space="preserve">, пропорционально населению города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и обратно квадрату расстояния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A37FF">
        <w:rPr>
          <w:rFonts w:ascii="Times New Roman" w:hAnsi="Times New Roman" w:cs="Times New Roman"/>
          <w:sz w:val="28"/>
          <w:szCs w:val="28"/>
        </w:rPr>
        <w:t xml:space="preserve">, а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A37FF">
        <w:rPr>
          <w:rFonts w:ascii="Times New Roman" w:hAnsi="Times New Roman" w:cs="Times New Roman"/>
          <w:sz w:val="28"/>
          <w:szCs w:val="28"/>
        </w:rPr>
        <w:t xml:space="preserve"> – эмпирически определяемая постоянная. В дальнейшем этот закон многократно применялся в различных странах в эмпирических экономико-географических исследованиях, приобретая новые формулировки. В качестве меры значения города не обязательно брать население. В зависимости от содержания задачи исследования могут браться и другие характеристики. Также не обязательно, чтобы показатель степени при переменной расстояния был равен 2 (так как этот показатель просто заимствован из закона всемирного тяготения). Расстояние можно заменить другими показателями доступности: временем, затрачиваемым на поездку, стоимостью поездки и другими характеристиками издержек передвижения. Таким образом, закон Рейли можно представить в следующем более общем виде:</w:t>
      </w:r>
    </w:p>
    <w:p w:rsidR="00DA37FF" w:rsidRPr="00DA37FF" w:rsidRDefault="00804F01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=k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</m:t>
                </m:r>
              </m:sup>
            </m:sSubSup>
          </m:den>
        </m:f>
      </m:oMath>
      <w:r w:rsidR="00DA37FF" w:rsidRPr="00DA37FF">
        <w:rPr>
          <w:rFonts w:ascii="Times New Roman" w:hAnsi="Times New Roman" w:cs="Times New Roman"/>
          <w:sz w:val="28"/>
          <w:szCs w:val="28"/>
        </w:rPr>
        <w:t>,</w:t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>(</w:t>
      </w:r>
      <w:r w:rsidR="00DA37FF">
        <w:rPr>
          <w:rFonts w:ascii="Times New Roman" w:hAnsi="Times New Roman" w:cs="Times New Roman"/>
          <w:sz w:val="28"/>
          <w:szCs w:val="28"/>
        </w:rPr>
        <w:t>3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DA37FF" w:rsidP="00DA37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 xml:space="preserve">где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A37FF">
        <w:rPr>
          <w:rFonts w:ascii="Times New Roman" w:hAnsi="Times New Roman" w:cs="Times New Roman"/>
          <w:sz w:val="28"/>
          <w:szCs w:val="28"/>
        </w:rPr>
        <w:t xml:space="preserve"> полученная величина тяготения (привлекательности) между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и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DA37FF">
        <w:rPr>
          <w:rFonts w:ascii="Times New Roman" w:hAnsi="Times New Roman" w:cs="Times New Roman"/>
          <w:sz w:val="28"/>
          <w:szCs w:val="28"/>
        </w:rPr>
        <w:t xml:space="preserve"> субъектами,  параметры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Pr="00DA37FF">
        <w:rPr>
          <w:rFonts w:ascii="Times New Roman" w:hAnsi="Times New Roman" w:cs="Times New Roman"/>
          <w:sz w:val="28"/>
          <w:szCs w:val="28"/>
        </w:rPr>
        <w:t xml:space="preserve"> и γ характеризует доступность территории,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величина параметра по которому определяется тяготение (привлекательность), </w:t>
      </w:r>
      <w:r w:rsidRPr="00DA37F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A37FF">
        <w:rPr>
          <w:rFonts w:ascii="Times New Roman" w:hAnsi="Times New Roman" w:cs="Times New Roman"/>
          <w:sz w:val="28"/>
          <w:szCs w:val="28"/>
        </w:rPr>
        <w:t xml:space="preserve"> – величина определяемая на основе исторических данных или лицом принимающим решения, её размерность, как правило, делается такой, чтобы результат стал безразмерной величиной. 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>С учетом формулы 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37FF">
        <w:rPr>
          <w:rFonts w:ascii="Times New Roman" w:hAnsi="Times New Roman" w:cs="Times New Roman"/>
          <w:sz w:val="28"/>
          <w:szCs w:val="28"/>
        </w:rPr>
        <w:t xml:space="preserve">) можем выписать вид функции привлекательности от нескольких параметров, которая в отличие от упомянутых выше, будет зависеть не только от описываемого региона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DA37FF">
        <w:rPr>
          <w:rFonts w:ascii="Times New Roman" w:hAnsi="Times New Roman" w:cs="Times New Roman"/>
          <w:sz w:val="28"/>
          <w:szCs w:val="28"/>
        </w:rPr>
        <w:t xml:space="preserve">, но и от региона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>, из которого может прийти лакуна:</w:t>
      </w:r>
    </w:p>
    <w:p w:rsidR="00C017F1" w:rsidRPr="00C017F1" w:rsidRDefault="00804F01" w:rsidP="00DA37F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atr</m:t>
              </m:r>
            </m:sup>
          </m:sSubSup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DA37FF" w:rsidRPr="00DA37FF" w:rsidRDefault="00C017F1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XD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p>
        </m:sSup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PD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sup>
        </m:sSup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lD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p>
        </m:sSup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RD</m:t>
                </m:r>
              </m:sup>
            </m:sSup>
          </m:den>
        </m:f>
      </m:oMath>
      <w:r w:rsidR="00DA37FF" w:rsidRPr="00DA37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>(4)</w:t>
      </w:r>
    </w:p>
    <w:p w:rsidR="00DF5EE0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 xml:space="preserve">Индексы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и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DA37FF">
        <w:rPr>
          <w:rFonts w:ascii="Times New Roman" w:hAnsi="Times New Roman" w:cs="Times New Roman"/>
          <w:sz w:val="28"/>
          <w:szCs w:val="28"/>
        </w:rPr>
        <w:t xml:space="preserve"> могут пробегать весь интервал от 1 до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DA37FF">
        <w:rPr>
          <w:rFonts w:ascii="Times New Roman" w:hAnsi="Times New Roman" w:cs="Times New Roman"/>
          <w:sz w:val="28"/>
          <w:szCs w:val="28"/>
        </w:rPr>
        <w:t xml:space="preserve"> – количества субъектов в РФ, при этом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≠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DA37FF">
        <w:rPr>
          <w:rFonts w:ascii="Times New Roman" w:hAnsi="Times New Roman" w:cs="Times New Roman"/>
          <w:sz w:val="28"/>
          <w:szCs w:val="28"/>
        </w:rPr>
        <w:t xml:space="preserve">, то есть на выходе можно получить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DA37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A37FF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DA37FF">
        <w:rPr>
          <w:rFonts w:ascii="Times New Roman" w:hAnsi="Times New Roman" w:cs="Times New Roman"/>
          <w:sz w:val="28"/>
          <w:szCs w:val="28"/>
        </w:rPr>
        <w:t xml:space="preserve"> функций привлекательности между каждым регионом. На практике такое обычно не требуется, лицо принимающее решение (ЛПР), как правило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DA37FF">
        <w:rPr>
          <w:rFonts w:ascii="Times New Roman" w:hAnsi="Times New Roman" w:cs="Times New Roman"/>
          <w:sz w:val="28"/>
          <w:szCs w:val="28"/>
        </w:rPr>
        <w:t xml:space="preserve"> фиксировано, как</w:t>
      </w:r>
      <w:r>
        <w:rPr>
          <w:rFonts w:ascii="Times New Roman" w:hAnsi="Times New Roman" w:cs="Times New Roman"/>
          <w:sz w:val="28"/>
          <w:szCs w:val="28"/>
        </w:rPr>
        <w:t xml:space="preserve"> номер</w:t>
      </w:r>
      <w:r w:rsidRPr="00DA37FF">
        <w:rPr>
          <w:rFonts w:ascii="Times New Roman" w:hAnsi="Times New Roman" w:cs="Times New Roman"/>
          <w:sz w:val="28"/>
          <w:szCs w:val="28"/>
        </w:rPr>
        <w:t xml:space="preserve"> регион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A37FF">
        <w:rPr>
          <w:rFonts w:ascii="Times New Roman" w:hAnsi="Times New Roman" w:cs="Times New Roman"/>
          <w:sz w:val="28"/>
          <w:szCs w:val="28"/>
        </w:rPr>
        <w:t xml:space="preserve"> в котором находится ЛПР, а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sz w:val="28"/>
          <w:szCs w:val="28"/>
        </w:rPr>
        <w:t xml:space="preserve"> может быть ограничено каким перечнем регионов, но в общем случае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Pr="00DA37FF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A37F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 весь перечень из</w:t>
      </w:r>
      <w:r w:rsidRPr="00DA37FF">
        <w:rPr>
          <w:rFonts w:ascii="Times New Roman" w:hAnsi="Times New Roman" w:cs="Times New Roman"/>
          <w:sz w:val="28"/>
          <w:szCs w:val="28"/>
        </w:rPr>
        <w:t xml:space="preserve">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субъектов</w:t>
      </w:r>
      <w:r w:rsidRPr="00DA37FF">
        <w:rPr>
          <w:rFonts w:ascii="Times New Roman" w:hAnsi="Times New Roman" w:cs="Times New Roman"/>
          <w:sz w:val="28"/>
          <w:szCs w:val="28"/>
        </w:rPr>
        <w:t>. Часть параметров была описана выше для формулы 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37FF">
        <w:rPr>
          <w:rFonts w:ascii="Times New Roman" w:hAnsi="Times New Roman" w:cs="Times New Roman"/>
          <w:sz w:val="28"/>
          <w:szCs w:val="28"/>
        </w:rPr>
        <w:t xml:space="preserve">), отметим дополнительно, что за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bSup>
      </m:oMath>
      <w:r w:rsidRPr="00DA37FF">
        <w:rPr>
          <w:rFonts w:ascii="Times New Roman" w:hAnsi="Times New Roman" w:cs="Times New Roman"/>
          <w:sz w:val="28"/>
          <w:szCs w:val="28"/>
        </w:rPr>
        <w:t xml:space="preserve"> можно взять затраты связанные с вводом продукции на рынок и её продвижением, степень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XD</w:t>
      </w:r>
      <w:r w:rsidRPr="00DA37FF">
        <w:rPr>
          <w:rFonts w:ascii="Times New Roman" w:hAnsi="Times New Roman" w:cs="Times New Roman"/>
          <w:sz w:val="28"/>
          <w:szCs w:val="28"/>
        </w:rPr>
        <w:t xml:space="preserve"> можно взять равной 1,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p>
        </m:sSubSup>
      </m:oMath>
      <w:r w:rsidRPr="00DA37FF">
        <w:rPr>
          <w:rFonts w:ascii="Times New Roman" w:hAnsi="Times New Roman" w:cs="Times New Roman"/>
          <w:sz w:val="28"/>
          <w:szCs w:val="28"/>
        </w:rPr>
        <w:t xml:space="preserve"> </w:t>
      </w:r>
      <w:r w:rsidRPr="00DA37FF">
        <w:rPr>
          <w:rFonts w:ascii="Times New Roman" w:hAnsi="Times New Roman" w:cs="Times New Roman"/>
          <w:sz w:val="28"/>
          <w:szCs w:val="28"/>
        </w:rPr>
        <w:softHyphen/>
        <w:t xml:space="preserve"> расстояние между регионами, степень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PD</w:t>
      </w:r>
      <w:r w:rsidRPr="00DA37FF">
        <w:rPr>
          <w:rFonts w:ascii="Times New Roman" w:hAnsi="Times New Roman" w:cs="Times New Roman"/>
          <w:sz w:val="28"/>
          <w:szCs w:val="28"/>
        </w:rPr>
        <w:t xml:space="preserve"> </w:t>
      </w:r>
      <w:r w:rsidRPr="00DA37FF">
        <w:rPr>
          <w:rFonts w:ascii="Times New Roman" w:hAnsi="Times New Roman" w:cs="Times New Roman"/>
          <w:sz w:val="28"/>
          <w:szCs w:val="28"/>
        </w:rPr>
        <w:lastRenderedPageBreak/>
        <w:t xml:space="preserve">можно взять равной 2,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sup>
        </m:sSubSup>
      </m:oMath>
      <w:r w:rsidRPr="00DA37FF">
        <w:rPr>
          <w:rFonts w:ascii="Times New Roman" w:hAnsi="Times New Roman" w:cs="Times New Roman"/>
          <w:sz w:val="28"/>
          <w:szCs w:val="28"/>
        </w:rPr>
        <w:t xml:space="preserve"> – отношение величины налогов по заработной плате в своем регионе к налогам в исследуемом регионе на одного сотрудника, степень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lD</w:t>
      </w:r>
      <w:r w:rsidRPr="00DA37FF">
        <w:rPr>
          <w:rFonts w:ascii="Times New Roman" w:hAnsi="Times New Roman" w:cs="Times New Roman"/>
          <w:sz w:val="28"/>
          <w:szCs w:val="28"/>
        </w:rPr>
        <w:t xml:space="preserve"> можно взять равной 2,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p>
        </m:sSubSup>
      </m:oMath>
      <w:r w:rsidRPr="00DA37FF">
        <w:rPr>
          <w:rFonts w:ascii="Times New Roman" w:hAnsi="Times New Roman" w:cs="Times New Roman"/>
          <w:sz w:val="28"/>
          <w:szCs w:val="28"/>
        </w:rPr>
        <w:t xml:space="preserve"> – отношение величины налогов по прибыли и обороту в своем регионе к налогам в исследуемом регионе, приведенные к одной величине выпуска, степень </w:t>
      </w:r>
      <w:r w:rsidRPr="00DA37FF">
        <w:rPr>
          <w:rFonts w:ascii="Times New Roman" w:hAnsi="Times New Roman" w:cs="Times New Roman"/>
          <w:i/>
          <w:iCs/>
          <w:sz w:val="28"/>
          <w:szCs w:val="28"/>
          <w:lang w:val="en-US"/>
        </w:rPr>
        <w:t>RD</w:t>
      </w:r>
      <w:r w:rsidRPr="00DA37FF">
        <w:rPr>
          <w:rFonts w:ascii="Times New Roman" w:hAnsi="Times New Roman" w:cs="Times New Roman"/>
          <w:sz w:val="28"/>
          <w:szCs w:val="28"/>
        </w:rPr>
        <w:t xml:space="preserve"> можно взять равной 2.</w:t>
      </w:r>
    </w:p>
    <w:p w:rsidR="00DF5EE0" w:rsidRDefault="00DF5EE0" w:rsidP="00DF5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EE0">
        <w:rPr>
          <w:rFonts w:ascii="Times New Roman" w:hAnsi="Times New Roman" w:cs="Times New Roman"/>
          <w:sz w:val="28"/>
          <w:szCs w:val="28"/>
        </w:rPr>
        <w:t>Функция может принимать и другие виды</w:t>
      </w:r>
      <w:r w:rsidR="00D45006">
        <w:rPr>
          <w:rFonts w:ascii="Times New Roman" w:hAnsi="Times New Roman" w:cs="Times New Roman"/>
          <w:sz w:val="28"/>
          <w:szCs w:val="28"/>
        </w:rPr>
        <w:t xml:space="preserve"> и конкретный её вид выбирается исходя из целей и задач моделирования</w:t>
      </w:r>
      <w:r w:rsidRPr="00DF5EE0">
        <w:rPr>
          <w:rFonts w:ascii="Times New Roman" w:hAnsi="Times New Roman" w:cs="Times New Roman"/>
          <w:sz w:val="28"/>
          <w:szCs w:val="28"/>
        </w:rPr>
        <w:t>. Список переменных может быть расширен в зависимости от задачи исследования и наличия данных. В приведенном выше виде функции переменные выбраны под имеющиеся данные и модель приведенную далее. Весовые коэффициенты могут определяться экспертом или посредством восстановления вида функции методом наименьших квадратов на основе исторических данных.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 xml:space="preserve">Приведем один из возможных вариантов использования функции – модель развития региона с такой целевой функцией. В случае, когда управляющий центр региона заинтересован в росте или уменьшении привлекательности экономики региона для бизнеса в каком-либо виде экономической деятельности, например рост в сельском хозяйстве, то целесообразно составить модель развития региона с целевыми функциями привлекательности. Причем набор целевых функций может варьироваться в зависимости от поставленных задач, например по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DA37FF">
        <w:rPr>
          <w:rFonts w:ascii="Times New Roman" w:hAnsi="Times New Roman" w:cs="Times New Roman"/>
          <w:sz w:val="28"/>
          <w:szCs w:val="28"/>
        </w:rPr>
        <w:t xml:space="preserve"> видам экономической деятельности необходим рост</w:t>
      </w:r>
      <w:r w:rsidR="00C017F1">
        <w:rPr>
          <w:rFonts w:ascii="Times New Roman" w:hAnsi="Times New Roman" w:cs="Times New Roman"/>
          <w:sz w:val="28"/>
          <w:szCs w:val="28"/>
        </w:rPr>
        <w:t xml:space="preserve"> </w:t>
      </w:r>
      <w:r w:rsidRPr="00DA37FF">
        <w:rPr>
          <w:rFonts w:ascii="Times New Roman" w:hAnsi="Times New Roman" w:cs="Times New Roman"/>
          <w:sz w:val="28"/>
          <w:szCs w:val="28"/>
        </w:rPr>
        <w:t>(снижение) привлекательности, в то время как остальные виды вообще могут не участвовать в целевых функциях модели.</w:t>
      </w:r>
    </w:p>
    <w:p w:rsidR="00DA37FF" w:rsidRPr="00DA37FF" w:rsidRDefault="00804F01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atr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→</m:t>
        </m:r>
        <m:func>
          <m:func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min</m:t>
                </m:r>
              </m:e>
            </m:d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</m:fun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DA37FF" w:rsidRPr="00DA37FF">
        <w:rPr>
          <w:rFonts w:ascii="Times New Roman" w:hAnsi="Times New Roman" w:cs="Times New Roman"/>
          <w:sz w:val="28"/>
          <w:szCs w:val="28"/>
        </w:rPr>
        <w:t>,</w:t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>(</w:t>
      </w:r>
      <w:r w:rsidR="00DA37FF">
        <w:rPr>
          <w:rFonts w:ascii="Times New Roman" w:hAnsi="Times New Roman" w:cs="Times New Roman"/>
          <w:sz w:val="28"/>
          <w:szCs w:val="28"/>
        </w:rPr>
        <w:t>5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804F01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)=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),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)),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DA37FF" w:rsidRPr="00DA37FF">
        <w:rPr>
          <w:rFonts w:ascii="Times New Roman" w:hAnsi="Times New Roman" w:cs="Times New Roman"/>
          <w:sz w:val="28"/>
          <w:szCs w:val="28"/>
        </w:rPr>
        <w:t>,</w:t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>(</w:t>
      </w:r>
      <w:r w:rsidR="00DA37FF">
        <w:rPr>
          <w:rFonts w:ascii="Times New Roman" w:hAnsi="Times New Roman" w:cs="Times New Roman"/>
          <w:sz w:val="28"/>
          <w:szCs w:val="28"/>
        </w:rPr>
        <w:t>6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804F01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Ф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DA37FF" w:rsidRPr="00DA37FF">
        <w:rPr>
          <w:rFonts w:ascii="Times New Roman" w:hAnsi="Times New Roman" w:cs="Times New Roman"/>
          <w:sz w:val="28"/>
          <w:szCs w:val="28"/>
        </w:rPr>
        <w:t>,</w:t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  <w:t>(</w:t>
      </w:r>
      <w:r w:rsidR="00DA37FF">
        <w:rPr>
          <w:rFonts w:ascii="Times New Roman" w:hAnsi="Times New Roman" w:cs="Times New Roman"/>
          <w:sz w:val="28"/>
          <w:szCs w:val="28"/>
        </w:rPr>
        <w:t>7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FF155E" w:rsidRDefault="00804F01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Ф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DA37FF" w:rsidRPr="00DA37FF">
        <w:rPr>
          <w:rFonts w:ascii="Times New Roman" w:hAnsi="Times New Roman" w:cs="Times New Roman"/>
          <w:sz w:val="28"/>
          <w:szCs w:val="28"/>
        </w:rPr>
        <w:t>,</w:t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>
        <w:rPr>
          <w:rFonts w:ascii="Times New Roman" w:hAnsi="Times New Roman" w:cs="Times New Roman"/>
          <w:sz w:val="28"/>
          <w:szCs w:val="28"/>
        </w:rPr>
        <w:t>(8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DA37FF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0≤</m:t>
        </m:r>
        <m:bar>
          <m:bar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bSup>
          </m:e>
        </m:ba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bSup>
          </m:e>
        </m:ba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 i=1,..,n, t=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+1,..,T</m:t>
        </m:r>
      </m:oMath>
      <w:r w:rsidRPr="00DA37FF">
        <w:rPr>
          <w:rFonts w:ascii="Times New Roman" w:hAnsi="Times New Roman" w:cs="Times New Roman"/>
          <w:sz w:val="28"/>
          <w:szCs w:val="28"/>
        </w:rPr>
        <w:t>,</w:t>
      </w:r>
      <w:r w:rsidRP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Pr="00DA37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DA37FF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0≤</m:t>
        </m:r>
        <m:bar>
          <m:bar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p>
            </m:sSubSup>
          </m:e>
        </m:ba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p>
            </m:sSubSup>
          </m:e>
        </m:ba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 i=1,..,n, t=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+1,..,T</m:t>
        </m:r>
      </m:oMath>
      <w:r w:rsidRPr="00DA37FF">
        <w:rPr>
          <w:rFonts w:ascii="Times New Roman" w:hAnsi="Times New Roman" w:cs="Times New Roman"/>
          <w:sz w:val="28"/>
          <w:szCs w:val="28"/>
        </w:rPr>
        <w:t>,</w:t>
      </w:r>
      <w:r w:rsidRPr="00DA37FF">
        <w:rPr>
          <w:rFonts w:ascii="Times New Roman" w:hAnsi="Times New Roman" w:cs="Times New Roman"/>
          <w:sz w:val="28"/>
          <w:szCs w:val="28"/>
        </w:rPr>
        <w:tab/>
      </w:r>
      <w:r w:rsidRP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  <w:t>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804F01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>(</w:t>
      </w:r>
      <w:r w:rsidR="00DA37FF">
        <w:rPr>
          <w:rFonts w:ascii="Times New Roman" w:hAnsi="Times New Roman" w:cs="Times New Roman"/>
          <w:sz w:val="28"/>
          <w:szCs w:val="28"/>
        </w:rPr>
        <w:t>11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743D23" w:rsidRDefault="00DA37FF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>начальные условия:</w:t>
      </w:r>
    </w:p>
    <w:p w:rsidR="00DA37FF" w:rsidRPr="00DA37FF" w:rsidRDefault="00804F01" w:rsidP="00FF1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=1,..,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DA37FF" w:rsidRPr="00743D23">
        <w:rPr>
          <w:rFonts w:ascii="Times New Roman" w:hAnsi="Times New Roman" w:cs="Times New Roman"/>
          <w:sz w:val="28"/>
          <w:szCs w:val="28"/>
        </w:rPr>
        <w:t>.</w:t>
      </w:r>
      <w:r w:rsidR="00DA37FF" w:rsidRPr="00743D23">
        <w:rPr>
          <w:rFonts w:ascii="Times New Roman" w:hAnsi="Times New Roman" w:cs="Times New Roman"/>
          <w:sz w:val="28"/>
          <w:szCs w:val="28"/>
        </w:rPr>
        <w:tab/>
      </w:r>
      <w:r w:rsidR="00DA37FF" w:rsidRPr="00743D23">
        <w:rPr>
          <w:rFonts w:ascii="Times New Roman" w:hAnsi="Times New Roman" w:cs="Times New Roman"/>
          <w:sz w:val="28"/>
          <w:szCs w:val="28"/>
        </w:rPr>
        <w:tab/>
      </w:r>
      <w:r w:rsidR="00DA37FF" w:rsidRPr="00743D23">
        <w:rPr>
          <w:rFonts w:ascii="Times New Roman" w:hAnsi="Times New Roman" w:cs="Times New Roman"/>
          <w:sz w:val="28"/>
          <w:szCs w:val="28"/>
        </w:rPr>
        <w:tab/>
      </w:r>
      <w:r w:rsidR="00DA37FF" w:rsidRPr="00743D23">
        <w:rPr>
          <w:rFonts w:ascii="Times New Roman" w:hAnsi="Times New Roman" w:cs="Times New Roman"/>
          <w:sz w:val="28"/>
          <w:szCs w:val="28"/>
        </w:rPr>
        <w:tab/>
      </w:r>
      <w:r w:rsidR="00DA37FF" w:rsidRPr="00743D23">
        <w:rPr>
          <w:rFonts w:ascii="Times New Roman" w:hAnsi="Times New Roman" w:cs="Times New Roman"/>
          <w:sz w:val="28"/>
          <w:szCs w:val="28"/>
        </w:rPr>
        <w:tab/>
      </w:r>
      <w:r w:rsidR="00DA37FF" w:rsidRPr="00743D23">
        <w:rPr>
          <w:rFonts w:ascii="Times New Roman" w:hAnsi="Times New Roman" w:cs="Times New Roman"/>
          <w:sz w:val="28"/>
          <w:szCs w:val="28"/>
        </w:rPr>
        <w:tab/>
      </w:r>
      <w:r w:rsidR="00FF155E">
        <w:rPr>
          <w:rFonts w:ascii="Times New Roman" w:hAnsi="Times New Roman" w:cs="Times New Roman"/>
          <w:sz w:val="28"/>
          <w:szCs w:val="28"/>
        </w:rPr>
        <w:tab/>
      </w:r>
      <w:r w:rsidR="00DA37FF" w:rsidRPr="00DA37FF">
        <w:rPr>
          <w:rFonts w:ascii="Times New Roman" w:hAnsi="Times New Roman" w:cs="Times New Roman"/>
          <w:sz w:val="28"/>
          <w:szCs w:val="28"/>
        </w:rPr>
        <w:t>(1</w:t>
      </w:r>
      <w:r w:rsidR="00DA37FF">
        <w:rPr>
          <w:rFonts w:ascii="Times New Roman" w:hAnsi="Times New Roman" w:cs="Times New Roman"/>
          <w:sz w:val="28"/>
          <w:szCs w:val="28"/>
        </w:rPr>
        <w:t>2</w:t>
      </w:r>
      <w:r w:rsidR="00DA37FF" w:rsidRPr="00DA37FF">
        <w:rPr>
          <w:rFonts w:ascii="Times New Roman" w:hAnsi="Times New Roman" w:cs="Times New Roman"/>
          <w:sz w:val="28"/>
          <w:szCs w:val="28"/>
        </w:rPr>
        <w:t>)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 xml:space="preserve">В приведенных ограничениях коэффициенты </w:t>
      </w:r>
      <w:r w:rsidRPr="00DA37FF">
        <w:rPr>
          <w:rFonts w:ascii="Times New Roman" w:hAnsi="Times New Roman" w:cs="Times New Roman"/>
          <w:i/>
          <w:sz w:val="28"/>
          <w:szCs w:val="28"/>
        </w:rPr>
        <w:t>β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K</w:t>
      </w:r>
      <w:r w:rsidRPr="00DA37FF">
        <w:rPr>
          <w:rFonts w:ascii="Times New Roman" w:hAnsi="Times New Roman" w:cs="Times New Roman"/>
          <w:sz w:val="28"/>
          <w:szCs w:val="28"/>
        </w:rPr>
        <w:t>(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sz w:val="28"/>
          <w:szCs w:val="28"/>
        </w:rPr>
        <w:t>)</w:t>
      </w:r>
      <w:r w:rsidRPr="00DA37FF">
        <w:rPr>
          <w:rFonts w:ascii="Times New Roman" w:hAnsi="Times New Roman" w:cs="Times New Roman"/>
          <w:i/>
          <w:sz w:val="28"/>
          <w:szCs w:val="28"/>
        </w:rPr>
        <w:t>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</w:rPr>
        <w:t>=1,..,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A37FF">
        <w:rPr>
          <w:rFonts w:ascii="Times New Roman" w:hAnsi="Times New Roman" w:cs="Times New Roman"/>
          <w:i/>
          <w:sz w:val="28"/>
          <w:szCs w:val="28"/>
        </w:rPr>
        <w:t>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</w:rPr>
        <w:t>=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DA37FF">
        <w:rPr>
          <w:rFonts w:ascii="Times New Roman" w:hAnsi="Times New Roman" w:cs="Times New Roman"/>
          <w:i/>
          <w:sz w:val="28"/>
          <w:szCs w:val="28"/>
        </w:rPr>
        <w:t>+</w:t>
      </w:r>
      <w:r w:rsidRPr="00DA37FF">
        <w:rPr>
          <w:rFonts w:ascii="Times New Roman" w:hAnsi="Times New Roman" w:cs="Times New Roman"/>
          <w:sz w:val="28"/>
          <w:szCs w:val="28"/>
        </w:rPr>
        <w:t>1</w:t>
      </w:r>
      <w:r w:rsidRPr="00DA37FF">
        <w:rPr>
          <w:rFonts w:ascii="Times New Roman" w:hAnsi="Times New Roman" w:cs="Times New Roman"/>
          <w:i/>
          <w:sz w:val="28"/>
          <w:szCs w:val="28"/>
        </w:rPr>
        <w:t>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sz w:val="28"/>
          <w:szCs w:val="28"/>
        </w:rPr>
        <w:t xml:space="preserve"> и </w:t>
      </w:r>
      <w:r w:rsidRPr="00DA37FF">
        <w:rPr>
          <w:rFonts w:ascii="Times New Roman" w:hAnsi="Times New Roman" w:cs="Times New Roman"/>
          <w:i/>
          <w:sz w:val="28"/>
          <w:szCs w:val="28"/>
        </w:rPr>
        <w:t>β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L</w:t>
      </w:r>
      <w:r w:rsidRPr="00DA37FF">
        <w:rPr>
          <w:rFonts w:ascii="Times New Roman" w:hAnsi="Times New Roman" w:cs="Times New Roman"/>
          <w:sz w:val="28"/>
          <w:szCs w:val="28"/>
        </w:rPr>
        <w:t>(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sz w:val="28"/>
          <w:szCs w:val="28"/>
        </w:rPr>
        <w:t>)</w:t>
      </w:r>
      <w:r w:rsidRPr="00DA37FF">
        <w:rPr>
          <w:rFonts w:ascii="Times New Roman" w:hAnsi="Times New Roman" w:cs="Times New Roman"/>
          <w:i/>
          <w:sz w:val="28"/>
          <w:szCs w:val="28"/>
        </w:rPr>
        <w:t>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</w:rPr>
        <w:t>=1,..,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A37FF">
        <w:rPr>
          <w:rFonts w:ascii="Times New Roman" w:hAnsi="Times New Roman" w:cs="Times New Roman"/>
          <w:i/>
          <w:sz w:val="28"/>
          <w:szCs w:val="28"/>
        </w:rPr>
        <w:t>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</w:rPr>
        <w:t>=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DA37FF">
        <w:rPr>
          <w:rFonts w:ascii="Times New Roman" w:hAnsi="Times New Roman" w:cs="Times New Roman"/>
          <w:i/>
          <w:sz w:val="28"/>
          <w:szCs w:val="28"/>
        </w:rPr>
        <w:t>+</w:t>
      </w:r>
      <w:r w:rsidRPr="00DA37FF">
        <w:rPr>
          <w:rFonts w:ascii="Times New Roman" w:hAnsi="Times New Roman" w:cs="Times New Roman"/>
          <w:sz w:val="28"/>
          <w:szCs w:val="28"/>
        </w:rPr>
        <w:t>1</w:t>
      </w:r>
      <w:r w:rsidRPr="00DA37FF">
        <w:rPr>
          <w:rFonts w:ascii="Times New Roman" w:hAnsi="Times New Roman" w:cs="Times New Roman"/>
          <w:i/>
          <w:sz w:val="28"/>
          <w:szCs w:val="28"/>
        </w:rPr>
        <w:t>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sz w:val="28"/>
          <w:szCs w:val="28"/>
        </w:rPr>
        <w:t xml:space="preserve"> называются коэффициентами перераспределения дополнительных финансовых средств </w:t>
      </w:r>
      <w:r w:rsidRPr="00DA37FF">
        <w:rPr>
          <w:rFonts w:ascii="Times New Roman" w:hAnsi="Times New Roman" w:cs="Times New Roman"/>
          <w:i/>
          <w:sz w:val="28"/>
          <w:szCs w:val="28"/>
        </w:rPr>
        <w:t>Ф</w:t>
      </w:r>
      <w:r w:rsidRPr="00DA37FF">
        <w:rPr>
          <w:rFonts w:ascii="Times New Roman" w:hAnsi="Times New Roman" w:cs="Times New Roman"/>
          <w:sz w:val="28"/>
          <w:szCs w:val="28"/>
        </w:rPr>
        <w:t>(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sz w:val="28"/>
          <w:szCs w:val="28"/>
        </w:rPr>
        <w:t>)</w:t>
      </w:r>
      <w:r w:rsidRPr="00DA37FF">
        <w:rPr>
          <w:rFonts w:ascii="Times New Roman" w:hAnsi="Times New Roman" w:cs="Times New Roman"/>
          <w:i/>
          <w:sz w:val="28"/>
          <w:szCs w:val="28"/>
        </w:rPr>
        <w:t>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</w:rPr>
        <w:t>=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DA37FF">
        <w:rPr>
          <w:rFonts w:ascii="Times New Roman" w:hAnsi="Times New Roman" w:cs="Times New Roman"/>
          <w:i/>
          <w:sz w:val="28"/>
          <w:szCs w:val="28"/>
        </w:rPr>
        <w:t>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sz w:val="28"/>
          <w:szCs w:val="28"/>
        </w:rPr>
        <w:t xml:space="preserve"> между всеми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A37FF">
        <w:rPr>
          <w:rFonts w:ascii="Times New Roman" w:hAnsi="Times New Roman" w:cs="Times New Roman"/>
          <w:sz w:val="28"/>
          <w:szCs w:val="28"/>
        </w:rPr>
        <w:t xml:space="preserve"> видами экономической деятельности и подлежат определению в ходе решения системы. Финансы распределяются между видами экономической деятельности на капитал (</w:t>
      </w:r>
      <w:r w:rsidR="002F3908">
        <w:rPr>
          <w:rFonts w:ascii="Times New Roman" w:hAnsi="Times New Roman" w:cs="Times New Roman"/>
          <w:sz w:val="28"/>
          <w:szCs w:val="28"/>
        </w:rPr>
        <w:t>7</w:t>
      </w:r>
      <w:r w:rsidRPr="00DA37FF">
        <w:rPr>
          <w:rFonts w:ascii="Times New Roman" w:hAnsi="Times New Roman" w:cs="Times New Roman"/>
          <w:sz w:val="28"/>
          <w:szCs w:val="28"/>
        </w:rPr>
        <w:t>) и трудовые ресурсы (</w:t>
      </w:r>
      <w:r w:rsidR="002F3908">
        <w:rPr>
          <w:rFonts w:ascii="Times New Roman" w:hAnsi="Times New Roman" w:cs="Times New Roman"/>
          <w:sz w:val="28"/>
          <w:szCs w:val="28"/>
        </w:rPr>
        <w:t>8</w:t>
      </w:r>
      <w:r w:rsidRPr="00DA37FF">
        <w:rPr>
          <w:rFonts w:ascii="Times New Roman" w:hAnsi="Times New Roman" w:cs="Times New Roman"/>
          <w:sz w:val="28"/>
          <w:szCs w:val="28"/>
        </w:rPr>
        <w:t>). На коэффициенты перераспределения накладываются двусторонние ограничения (</w:t>
      </w:r>
      <w:r w:rsidR="002F3908">
        <w:rPr>
          <w:rFonts w:ascii="Times New Roman" w:hAnsi="Times New Roman" w:cs="Times New Roman"/>
          <w:sz w:val="28"/>
          <w:szCs w:val="28"/>
        </w:rPr>
        <w:t>9</w:t>
      </w:r>
      <w:r w:rsidRPr="00DA37FF">
        <w:rPr>
          <w:rFonts w:ascii="Times New Roman" w:hAnsi="Times New Roman" w:cs="Times New Roman"/>
          <w:sz w:val="28"/>
          <w:szCs w:val="28"/>
        </w:rPr>
        <w:t>)-(</w:t>
      </w:r>
      <w:r w:rsidR="002F3908">
        <w:rPr>
          <w:rFonts w:ascii="Times New Roman" w:hAnsi="Times New Roman" w:cs="Times New Roman"/>
          <w:sz w:val="28"/>
          <w:szCs w:val="28"/>
        </w:rPr>
        <w:t>10</w:t>
      </w:r>
      <w:r w:rsidRPr="00DA37FF">
        <w:rPr>
          <w:rFonts w:ascii="Times New Roman" w:hAnsi="Times New Roman" w:cs="Times New Roman"/>
          <w:sz w:val="28"/>
          <w:szCs w:val="28"/>
        </w:rPr>
        <w:t xml:space="preserve">), с </w:t>
      </w:r>
      <w:r w:rsidRPr="00DA37FF">
        <w:rPr>
          <w:rFonts w:ascii="Times New Roman" w:hAnsi="Times New Roman" w:cs="Times New Roman"/>
          <w:sz w:val="28"/>
          <w:szCs w:val="28"/>
        </w:rPr>
        <w:lastRenderedPageBreak/>
        <w:t xml:space="preserve">целью недопущения недофинансирования какого-либо вида экономической деятельности, например, социально значимого. Коэффициент выбытия основных фондов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</w:rPr>
        <w:t>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</w:rPr>
        <w:t>=</w:t>
      </w:r>
      <w:r w:rsidRPr="00DA37FF">
        <w:rPr>
          <w:rFonts w:ascii="Times New Roman" w:hAnsi="Times New Roman" w:cs="Times New Roman"/>
          <w:sz w:val="28"/>
          <w:szCs w:val="28"/>
        </w:rPr>
        <w:t>1</w:t>
      </w:r>
      <w:r w:rsidRPr="00DA37FF">
        <w:rPr>
          <w:rFonts w:ascii="Times New Roman" w:hAnsi="Times New Roman" w:cs="Times New Roman"/>
          <w:i/>
          <w:sz w:val="28"/>
          <w:szCs w:val="28"/>
        </w:rPr>
        <w:t>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A37FF">
        <w:rPr>
          <w:rFonts w:ascii="Times New Roman" w:hAnsi="Times New Roman" w:cs="Times New Roman"/>
          <w:sz w:val="28"/>
          <w:szCs w:val="28"/>
        </w:rPr>
        <w:t xml:space="preserve"> считается заданным и неизменным на всем горизонте планирования, численность населения </w:t>
      </w:r>
      <w:r w:rsidRPr="00DA37FF">
        <w:rPr>
          <w:rFonts w:ascii="Times New Roman" w:hAnsi="Times New Roman" w:cs="Times New Roman"/>
          <w:i/>
          <w:sz w:val="28"/>
          <w:szCs w:val="28"/>
        </w:rPr>
        <w:t>P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</w:rPr>
        <w:t>(t),i=</w:t>
      </w:r>
      <w:r w:rsidRPr="00DA37FF">
        <w:rPr>
          <w:rFonts w:ascii="Times New Roman" w:hAnsi="Times New Roman" w:cs="Times New Roman"/>
          <w:sz w:val="28"/>
          <w:szCs w:val="28"/>
        </w:rPr>
        <w:t>1</w:t>
      </w:r>
      <w:r w:rsidRPr="00DA37FF">
        <w:rPr>
          <w:rFonts w:ascii="Times New Roman" w:hAnsi="Times New Roman" w:cs="Times New Roman"/>
          <w:i/>
          <w:sz w:val="28"/>
          <w:szCs w:val="28"/>
        </w:rPr>
        <w:t>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A37FF">
        <w:rPr>
          <w:rFonts w:ascii="Times New Roman" w:hAnsi="Times New Roman" w:cs="Times New Roman"/>
          <w:sz w:val="28"/>
          <w:szCs w:val="28"/>
        </w:rPr>
        <w:t xml:space="preserve"> и стоимость ресурсов 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DA37FF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DA37FF">
        <w:rPr>
          <w:rFonts w:ascii="Times New Roman" w:hAnsi="Times New Roman" w:cs="Times New Roman"/>
          <w:i/>
          <w:sz w:val="28"/>
          <w:szCs w:val="28"/>
        </w:rPr>
        <w:t>(t),i=</w:t>
      </w:r>
      <w:r w:rsidRPr="00DA37FF">
        <w:rPr>
          <w:rFonts w:ascii="Times New Roman" w:hAnsi="Times New Roman" w:cs="Times New Roman"/>
          <w:sz w:val="28"/>
          <w:szCs w:val="28"/>
        </w:rPr>
        <w:t>1</w:t>
      </w:r>
      <w:r w:rsidRPr="00DA37FF">
        <w:rPr>
          <w:rFonts w:ascii="Times New Roman" w:hAnsi="Times New Roman" w:cs="Times New Roman"/>
          <w:i/>
          <w:sz w:val="28"/>
          <w:szCs w:val="28"/>
        </w:rPr>
        <w:t>,..,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A37FF">
        <w:rPr>
          <w:rFonts w:ascii="Times New Roman" w:hAnsi="Times New Roman" w:cs="Times New Roman"/>
          <w:sz w:val="28"/>
          <w:szCs w:val="28"/>
        </w:rPr>
        <w:t xml:space="preserve"> считаются заданными на каждый год. Модель подобного вида подробно рассмотрена в работах [11, 13].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>В модели</w:t>
      </w:r>
      <w:r w:rsidR="00D45006">
        <w:rPr>
          <w:rFonts w:ascii="Times New Roman" w:hAnsi="Times New Roman" w:cs="Times New Roman"/>
          <w:sz w:val="28"/>
          <w:szCs w:val="28"/>
        </w:rPr>
        <w:t xml:space="preserve"> (5)-(12)</w:t>
      </w:r>
      <w:r w:rsidRPr="00DA37FF">
        <w:rPr>
          <w:rFonts w:ascii="Times New Roman" w:hAnsi="Times New Roman" w:cs="Times New Roman"/>
          <w:sz w:val="28"/>
          <w:szCs w:val="28"/>
        </w:rPr>
        <w:t xml:space="preserve"> несколько целевых функций, для её решения можно воспользоваться скаляризацией, объединив их в одну суммированием с коэффициентами, определяемыми лицом принимающим решения. 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>Если все производственные функции линейны, то вся модель является линейной, и для её решения можешь быть применен симплекс-метод, в противном случае, можно воспользоваться методом Соболя, который является приближенным методом решения нелинейных задач, но обладает широкой степенью применимости. Допустимая область оптимизационной задачи (</w:t>
      </w:r>
      <w:r w:rsidR="00D45006">
        <w:rPr>
          <w:rFonts w:ascii="Times New Roman" w:hAnsi="Times New Roman" w:cs="Times New Roman"/>
          <w:sz w:val="28"/>
          <w:szCs w:val="28"/>
        </w:rPr>
        <w:t>5</w:t>
      </w:r>
      <w:r w:rsidRPr="00DA37FF">
        <w:rPr>
          <w:rFonts w:ascii="Times New Roman" w:hAnsi="Times New Roman" w:cs="Times New Roman"/>
          <w:sz w:val="28"/>
          <w:szCs w:val="28"/>
        </w:rPr>
        <w:t>)-(1</w:t>
      </w:r>
      <w:r w:rsidR="00D45006">
        <w:rPr>
          <w:rFonts w:ascii="Times New Roman" w:hAnsi="Times New Roman" w:cs="Times New Roman"/>
          <w:sz w:val="28"/>
          <w:szCs w:val="28"/>
        </w:rPr>
        <w:t>2</w:t>
      </w:r>
      <w:r w:rsidRPr="00DA37FF">
        <w:rPr>
          <w:rFonts w:ascii="Times New Roman" w:hAnsi="Times New Roman" w:cs="Times New Roman"/>
          <w:sz w:val="28"/>
          <w:szCs w:val="28"/>
        </w:rPr>
        <w:t xml:space="preserve">) определяется выражениями (7)-(8) и если она не пуста, то имеем выпуклое допустимое множество размерности </w:t>
      </w:r>
      <w:r w:rsidRPr="00DA37FF">
        <w:rPr>
          <w:rFonts w:ascii="Times New Roman" w:hAnsi="Times New Roman" w:cs="Times New Roman"/>
          <w:i/>
          <w:sz w:val="28"/>
          <w:szCs w:val="28"/>
        </w:rPr>
        <w:t>n∙(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</w:rPr>
        <w:t>-</w:t>
      </w:r>
      <w:r w:rsidRPr="00DA37F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A37FF">
        <w:rPr>
          <w:rFonts w:ascii="Times New Roman" w:hAnsi="Times New Roman" w:cs="Times New Roman"/>
          <w:i/>
          <w:sz w:val="28"/>
          <w:szCs w:val="28"/>
        </w:rPr>
        <w:t>)</w:t>
      </w:r>
      <w:r w:rsidRPr="00DA37FF">
        <w:rPr>
          <w:rFonts w:ascii="Times New Roman" w:hAnsi="Times New Roman" w:cs="Times New Roman"/>
          <w:sz w:val="28"/>
          <w:szCs w:val="28"/>
        </w:rPr>
        <w:t xml:space="preserve">, в котором задача со скаляризованной целевой функцией разрешима. 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>Расчет конкретного примера по данной модели будет произведен в одной из будущих публикаций по данной теме.</w:t>
      </w:r>
    </w:p>
    <w:p w:rsidR="00DA37FF" w:rsidRPr="00DA37FF" w:rsidRDefault="00DA37FF" w:rsidP="00DA3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7FF">
        <w:rPr>
          <w:rFonts w:ascii="Times New Roman" w:hAnsi="Times New Roman" w:cs="Times New Roman"/>
          <w:sz w:val="28"/>
          <w:szCs w:val="28"/>
        </w:rPr>
        <w:t xml:space="preserve">Таким образом, в статье рассмотрен такой аспект неоднородности в региональной экономической системе как производственная лакуна. По сравнению с более ранними работами по данной теме, </w:t>
      </w:r>
      <w:r w:rsidR="00D45006">
        <w:rPr>
          <w:rFonts w:ascii="Times New Roman" w:hAnsi="Times New Roman" w:cs="Times New Roman"/>
          <w:sz w:val="28"/>
          <w:szCs w:val="28"/>
        </w:rPr>
        <w:t>предложен новый вид функции на основе закона Рейли</w:t>
      </w:r>
      <w:r w:rsidRPr="00DA37FF">
        <w:rPr>
          <w:rFonts w:ascii="Times New Roman" w:hAnsi="Times New Roman" w:cs="Times New Roman"/>
          <w:sz w:val="28"/>
          <w:szCs w:val="28"/>
        </w:rPr>
        <w:t>. Также предложена модель развития региона, в которой целевыми функциями являются функции привлекательности видов экономической деятельности. Моделировани</w:t>
      </w:r>
      <w:r w:rsidR="00D45006">
        <w:rPr>
          <w:rFonts w:ascii="Times New Roman" w:hAnsi="Times New Roman" w:cs="Times New Roman"/>
          <w:sz w:val="28"/>
          <w:szCs w:val="28"/>
        </w:rPr>
        <w:t>е</w:t>
      </w:r>
      <w:r w:rsidRPr="00DA37FF">
        <w:rPr>
          <w:rFonts w:ascii="Times New Roman" w:hAnsi="Times New Roman" w:cs="Times New Roman"/>
          <w:sz w:val="28"/>
          <w:szCs w:val="28"/>
        </w:rPr>
        <w:t xml:space="preserve"> развития РЭС позволит так распределить дополнительные финансовые средства, чтобы привлечь сторонние хозяйствующие субъекты в регион или если требуется напротив создать условия для их ухода. Модель с целевой функцией привлекательности может использоваться как самостоятельно, так и в симбиозе с «классическими» функциями цели в виде роста валового выпуска региона. В дальнейших работах планируется исследовать возможность восстановления функции привлекательности региона на основе </w:t>
      </w:r>
      <w:r w:rsidR="00CA0B03">
        <w:rPr>
          <w:rFonts w:ascii="Times New Roman" w:hAnsi="Times New Roman" w:cs="Times New Roman"/>
          <w:sz w:val="28"/>
          <w:szCs w:val="28"/>
        </w:rPr>
        <w:t>данных по налогам</w:t>
      </w:r>
      <w:r w:rsidRPr="00DA37FF">
        <w:rPr>
          <w:rFonts w:ascii="Times New Roman" w:hAnsi="Times New Roman" w:cs="Times New Roman"/>
          <w:sz w:val="28"/>
          <w:szCs w:val="28"/>
        </w:rPr>
        <w:t>, что должно повысить точность моделирования.</w:t>
      </w:r>
    </w:p>
    <w:p w:rsidR="00015DCC" w:rsidRDefault="00015DCC" w:rsidP="00352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743D23" w:rsidRDefault="0040187C" w:rsidP="004018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743D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743D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743D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Машунин Ю. К. «Организация управления, моделирование и прогнозирование развития экономики региона» / Ю. К. Машунин, И. А. Машунин // Региональная экономика и управление: электронный научный журнал. ISSN 1999-2645. — №1 (45). Номер статьи: 4503. Дата публикации: 2016-02-06. Режим доступа: https://eee-region.ru/article/4503/.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Волкова Е. Н. «Моделирование социально-экономического развития регионов» / Е. Н. Волкова, М. В. Карманов // Статистика и математические методы в экономике, – 2016, №3 – С. 43-47.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Кашинцев Н. П. «Моделирование регионального развития на основе нейросетевых технологий» / Н. П. Кашинцев  // Молодой ученый. – 2015. – №22. – С. 405-412.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Киреева Е.В. «Моделирование особенностей развития региональной экономики» / Е.В. Киреева, О.М. Гусарова // Международный студенческий научный вестник. – 2017. – № 6. Режим доступа: http://eduherald.ru/ru/article/view?id=17954 (дата обращения: 15.09.2019)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Громыко Н. К. «Имитационная модель регулирования развития региона» / Н. К. Громыко // БiзнесIнформ. Регiональна Економiка, – 2011. – № 7(2), – С. 75-79.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Краснова Т.Г. «Моделирование процессов развития регионов сибири» / Т.Г. Краснова, Т.Н. Плотникова, А.Н. Дулесов, Г.И. Краснов // Фундаментальные исследования. – 2018. – № 2. – С. 128-133; Режим доступа: http://fundamental-research.ru/ru/article/view?id=42087 (дата обращения: 15.09.2019)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7.</w:t>
      </w:r>
      <w:r w:rsidRPr="0035216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Makarov V. Modeling the Development of Regional Economy and an Innovation Space Efficiency. / V. Makarov, S. Ayvazyan, M. Afanasyev, A. Bakhtizin, A.  Nanavyan // Foresight and STI Governance, – 2016. – vol. 10, no 3, – pp. 76–90. DOI: 10.17323/1995-459X.2016.3.76.90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Баева Н.Б. "Математические методы оценки производственной лакуны региона". / Баева Н.Б., Куркин Е.В. // Современная экономика: Проблемы и решения. №11(35), – 2012. – С. 138-148. ISSN 2078-9017.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Куркин Е.В. «Математические методы учета лакун региональной экономической системы» / Куркин Е.В. // Актуальные проблемы прикладной математики, информатики и механики: сборник трудов Международной конференции, Воронеж, 26-28 ноября 2012 г.: в 2 ч. Ч. 2. – Воронеж: Издательско-полиграфический центр ВГУ,  2012. –  С. 162-167. ISBN 978-5-9273-1973-2.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Воронежский статистический ежегодник. 2018: Стат. сб. / Воронежстат. – В 75 Воронеж, 2018. – 336 с.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Баева Н. Б. Математические методы поддержки процесса перехода региональных экономических систем в режим устойчивого развития: монография / Н. Б. Баева, Е. В. Куркин; Воронежский государственный университет. – Воронеж: Издательский дом ВГУ, 2015. – 180 с.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Баева Н. Б. Производственная лакуна как инновационный фактор региона / Баева Н.Б., Куркин Е.В. // IX Московская международная конференция по исследованию операций (ORM2018). Москва, 22–27 октября 2018 г. Труды. В двух томах. / Отв. ред. Ф. И. Ерешко – Москва : МАКС Пресс, 2018, Том 2 – С. 205-208.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Баева Н.Б. Имитационная система формирования плана развития региона / Баева Н.Б., Куркин Е.В. // Вестник ВГУ, Серия: системный анализ и информационные технологии, – 2015, № 1 - С. 61-70.</w:t>
      </w:r>
    </w:p>
    <w:p w:rsidR="00352167" w:rsidRP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Фрейдина Е. В. Исследование систем управления: Учебное пособие. – М.: Омега-Л, 2008. – 208 с.</w:t>
      </w:r>
    </w:p>
    <w:p w:rsidR="00352167" w:rsidRDefault="00352167" w:rsidP="00352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Баева Н.Б. "Лакунарная экономика: понятие, оценка привлекательности, примеры" / Баева Н.Б., Куркин Е.В., Бабкова В.А. // Вестник ВГУ, Серия: системный анализ и информационные технологии, – 2016, № 2 – С. 31-37.</w:t>
      </w:r>
    </w:p>
    <w:p w:rsidR="001E57B6" w:rsidRPr="00B23F0E" w:rsidRDefault="00352167" w:rsidP="00CA0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 w:rsidRPr="00352167">
        <w:rPr>
          <w:rFonts w:ascii="Times New Roman" w:hAnsi="Times New Roman" w:cs="Times New Roman"/>
          <w:color w:val="000000"/>
          <w:sz w:val="24"/>
          <w:szCs w:val="24"/>
        </w:rPr>
        <w:t>Региональная экономика и пространственное развитие. В 2 т. Т. 1 Региональная экономика. Теория, модели и методы : учебник для бакалавриата и магистратуры / под общ. ред. Л. Э. Лимонова. — М. : Издательство Юрайт, 2014 — 397 с. — Серия : Бакалавр и магистр. Академический курс</w:t>
      </w:r>
      <w:r w:rsidR="002744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1E57B6" w:rsidRPr="00B23F0E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F01" w:rsidRDefault="00804F01" w:rsidP="00F51369">
      <w:pPr>
        <w:spacing w:after="0" w:line="240" w:lineRule="auto"/>
      </w:pPr>
      <w:r>
        <w:separator/>
      </w:r>
    </w:p>
  </w:endnote>
  <w:endnote w:type="continuationSeparator" w:id="0">
    <w:p w:rsidR="00804F01" w:rsidRDefault="00804F01" w:rsidP="00F5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F01" w:rsidRDefault="00804F01" w:rsidP="00F51369">
      <w:pPr>
        <w:spacing w:after="0" w:line="240" w:lineRule="auto"/>
      </w:pPr>
      <w:r>
        <w:separator/>
      </w:r>
    </w:p>
  </w:footnote>
  <w:footnote w:type="continuationSeparator" w:id="0">
    <w:p w:rsidR="00804F01" w:rsidRDefault="00804F01" w:rsidP="00F5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74"/>
    <w:rsid w:val="0000122D"/>
    <w:rsid w:val="00007551"/>
    <w:rsid w:val="00015DCC"/>
    <w:rsid w:val="00041F0B"/>
    <w:rsid w:val="0004537E"/>
    <w:rsid w:val="0006702C"/>
    <w:rsid w:val="000710D0"/>
    <w:rsid w:val="00087C46"/>
    <w:rsid w:val="00096779"/>
    <w:rsid w:val="000A0EE3"/>
    <w:rsid w:val="000A2007"/>
    <w:rsid w:val="000A52B2"/>
    <w:rsid w:val="000B4642"/>
    <w:rsid w:val="000B59A1"/>
    <w:rsid w:val="000C02A6"/>
    <w:rsid w:val="001445B7"/>
    <w:rsid w:val="00172DDC"/>
    <w:rsid w:val="00174FD2"/>
    <w:rsid w:val="00193A48"/>
    <w:rsid w:val="001E246E"/>
    <w:rsid w:val="001E57B6"/>
    <w:rsid w:val="0020298B"/>
    <w:rsid w:val="0021746C"/>
    <w:rsid w:val="00262597"/>
    <w:rsid w:val="00262C32"/>
    <w:rsid w:val="00274403"/>
    <w:rsid w:val="00276B74"/>
    <w:rsid w:val="002A1F11"/>
    <w:rsid w:val="002F265B"/>
    <w:rsid w:val="002F3908"/>
    <w:rsid w:val="00304D35"/>
    <w:rsid w:val="0032073B"/>
    <w:rsid w:val="00347B94"/>
    <w:rsid w:val="00352167"/>
    <w:rsid w:val="0037327F"/>
    <w:rsid w:val="00375CE1"/>
    <w:rsid w:val="003A6486"/>
    <w:rsid w:val="003D0BF7"/>
    <w:rsid w:val="003E49CA"/>
    <w:rsid w:val="003F423D"/>
    <w:rsid w:val="003F63A0"/>
    <w:rsid w:val="0040187C"/>
    <w:rsid w:val="00410AE6"/>
    <w:rsid w:val="00425C77"/>
    <w:rsid w:val="00434B80"/>
    <w:rsid w:val="00446EAE"/>
    <w:rsid w:val="004A4CC5"/>
    <w:rsid w:val="004D031A"/>
    <w:rsid w:val="004D7E66"/>
    <w:rsid w:val="004E0824"/>
    <w:rsid w:val="004F2B08"/>
    <w:rsid w:val="00510A85"/>
    <w:rsid w:val="00530BB8"/>
    <w:rsid w:val="00562501"/>
    <w:rsid w:val="00565AC2"/>
    <w:rsid w:val="0059643E"/>
    <w:rsid w:val="005C37E4"/>
    <w:rsid w:val="005D02F1"/>
    <w:rsid w:val="005E3CF5"/>
    <w:rsid w:val="00615341"/>
    <w:rsid w:val="00616AA1"/>
    <w:rsid w:val="00617AF3"/>
    <w:rsid w:val="00682E4F"/>
    <w:rsid w:val="006A7A32"/>
    <w:rsid w:val="006B39E8"/>
    <w:rsid w:val="006C36C3"/>
    <w:rsid w:val="006C4676"/>
    <w:rsid w:val="006C5910"/>
    <w:rsid w:val="006E403C"/>
    <w:rsid w:val="006F558D"/>
    <w:rsid w:val="00725E44"/>
    <w:rsid w:val="007412AD"/>
    <w:rsid w:val="00741A7B"/>
    <w:rsid w:val="00743D23"/>
    <w:rsid w:val="0075007B"/>
    <w:rsid w:val="00755D1D"/>
    <w:rsid w:val="007572E9"/>
    <w:rsid w:val="007655CB"/>
    <w:rsid w:val="00766DD7"/>
    <w:rsid w:val="007A498F"/>
    <w:rsid w:val="007B7BC4"/>
    <w:rsid w:val="007C1AC5"/>
    <w:rsid w:val="007C78EE"/>
    <w:rsid w:val="007E7726"/>
    <w:rsid w:val="00804F01"/>
    <w:rsid w:val="00831ADF"/>
    <w:rsid w:val="008364D8"/>
    <w:rsid w:val="008503D1"/>
    <w:rsid w:val="00870B97"/>
    <w:rsid w:val="0088109A"/>
    <w:rsid w:val="008A1B6D"/>
    <w:rsid w:val="008E471D"/>
    <w:rsid w:val="00910185"/>
    <w:rsid w:val="00914E04"/>
    <w:rsid w:val="00942B4B"/>
    <w:rsid w:val="00967740"/>
    <w:rsid w:val="009758D6"/>
    <w:rsid w:val="009844B8"/>
    <w:rsid w:val="009B2691"/>
    <w:rsid w:val="009D6CE6"/>
    <w:rsid w:val="00A14989"/>
    <w:rsid w:val="00A17335"/>
    <w:rsid w:val="00A26FB3"/>
    <w:rsid w:val="00A40F55"/>
    <w:rsid w:val="00A6065D"/>
    <w:rsid w:val="00A966EF"/>
    <w:rsid w:val="00AE01C6"/>
    <w:rsid w:val="00B01048"/>
    <w:rsid w:val="00B23BC9"/>
    <w:rsid w:val="00B23F0E"/>
    <w:rsid w:val="00B64063"/>
    <w:rsid w:val="00B67795"/>
    <w:rsid w:val="00B80D79"/>
    <w:rsid w:val="00B84528"/>
    <w:rsid w:val="00B94B92"/>
    <w:rsid w:val="00BC1E41"/>
    <w:rsid w:val="00C017F1"/>
    <w:rsid w:val="00C2271C"/>
    <w:rsid w:val="00C242F8"/>
    <w:rsid w:val="00C4341D"/>
    <w:rsid w:val="00C65026"/>
    <w:rsid w:val="00C74306"/>
    <w:rsid w:val="00CA0B03"/>
    <w:rsid w:val="00CA4520"/>
    <w:rsid w:val="00CB5E3C"/>
    <w:rsid w:val="00CC30FB"/>
    <w:rsid w:val="00CE2595"/>
    <w:rsid w:val="00CF506A"/>
    <w:rsid w:val="00D412FE"/>
    <w:rsid w:val="00D45006"/>
    <w:rsid w:val="00D516F7"/>
    <w:rsid w:val="00D52586"/>
    <w:rsid w:val="00D7126F"/>
    <w:rsid w:val="00D713F9"/>
    <w:rsid w:val="00D95943"/>
    <w:rsid w:val="00DA37FF"/>
    <w:rsid w:val="00DA63EA"/>
    <w:rsid w:val="00DD05A3"/>
    <w:rsid w:val="00DD2CAC"/>
    <w:rsid w:val="00DE28D2"/>
    <w:rsid w:val="00DF5EE0"/>
    <w:rsid w:val="00E045EC"/>
    <w:rsid w:val="00E24D2D"/>
    <w:rsid w:val="00E57074"/>
    <w:rsid w:val="00E66C09"/>
    <w:rsid w:val="00E77C92"/>
    <w:rsid w:val="00E81D01"/>
    <w:rsid w:val="00EE3966"/>
    <w:rsid w:val="00F1276D"/>
    <w:rsid w:val="00F32610"/>
    <w:rsid w:val="00F42C06"/>
    <w:rsid w:val="00F51369"/>
    <w:rsid w:val="00F71BB6"/>
    <w:rsid w:val="00FB46C2"/>
    <w:rsid w:val="00FC588F"/>
    <w:rsid w:val="00FC77C2"/>
    <w:rsid w:val="00FC795F"/>
    <w:rsid w:val="00FD370F"/>
    <w:rsid w:val="00FF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1BE52-EC06-4DCC-A337-F846E62C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5136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78A6-3635-432A-9C51-9CA66585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2338</Words>
  <Characters>13329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Borodina, Ann</dc:creator>
  <cp:lastModifiedBy>Воронова Полина Александровна</cp:lastModifiedBy>
  <cp:revision>3</cp:revision>
  <dcterms:created xsi:type="dcterms:W3CDTF">2020-10-03T11:19:00Z</dcterms:created>
  <dcterms:modified xsi:type="dcterms:W3CDTF">2020-10-03T11:19:00Z</dcterms:modified>
</cp:coreProperties>
</file>